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https://view.genial.ly/61baf575b3f11b0e06594250/interactive-content-bolanos-christmas-card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https://view.genial.ly/61bb0fdbb3f11b0e06594676/social-action-christmas-card-becilla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https://view.genial.ly/61ba2ae16d49d30dcf6b7e7d/interactive-content-christmas-card-ceinos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/>
        <w:drawing>
          <wp:inline distB="114300" distT="114300" distL="114300" distR="114300">
            <wp:extent cx="4207362" cy="426907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07362" cy="42690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jpg"/><Relationship Id="rId5" Type="http://schemas.openxmlformats.org/officeDocument/2006/relationships/styles" Target="styles.xml"/><Relationship Id="rId6" Type="http://schemas.openxmlformats.org/officeDocument/2006/relationships/hyperlink" Target="https://view.genial.ly/61baf575b3f11b0e06594250/interactive-content-bolanos-christmas-card" TargetMode="External"/><Relationship Id="rId7" Type="http://schemas.openxmlformats.org/officeDocument/2006/relationships/hyperlink" Target="https://view.genial.ly/61bb0fdbb3f11b0e06594676/social-action-christmas-card-becilla" TargetMode="External"/><Relationship Id="rId8" Type="http://schemas.openxmlformats.org/officeDocument/2006/relationships/hyperlink" Target="https://view.genial.ly/61ba2ae16d49d30dcf6b7e7d/interactive-content-christmas-card-ceino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